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172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6"/>
        <w:gridCol w:w="15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0" w:hRule="atLeast"/>
          <w:jc w:val="center"/>
        </w:trPr>
        <w:tc>
          <w:tcPr>
            <w:tcW w:w="17225" w:type="dxa"/>
            <w:gridSpan w:val="2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  <w:color w:val="000000" w:themeColor="text1"/>
                <w:sz w:val="36"/>
                <w:szCs w:val="4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 w:themeColor="text1"/>
                <w:sz w:val="36"/>
                <w:szCs w:val="44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全国层面</w:t>
            </w:r>
            <w:r>
              <w:rPr>
                <w:rFonts w:hint="default" w:ascii="黑体" w:hAnsi="黑体" w:eastAsia="黑体" w:cs="黑体"/>
                <w:b/>
                <w:bCs/>
                <w:color w:val="000000" w:themeColor="text1"/>
                <w:sz w:val="36"/>
                <w:szCs w:val="44"/>
                <w:lang w:eastAsia="zh-Hans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黑体" w:hAnsi="黑体" w:eastAsia="黑体" w:cs="黑体"/>
                <w:b/>
                <w:bCs/>
                <w:color w:val="000000" w:themeColor="text1"/>
                <w:sz w:val="36"/>
                <w:szCs w:val="4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200</w:t>
            </w:r>
            <w:r>
              <w:rPr>
                <w:rFonts w:hint="default" w:ascii="黑体" w:hAnsi="黑体" w:eastAsia="黑体" w:cs="黑体"/>
                <w:b/>
                <w:bCs/>
                <w:color w:val="000000" w:themeColor="text1"/>
                <w:sz w:val="36"/>
                <w:szCs w:val="44"/>
                <w:lang w:eastAsia="zh-CN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="黑体" w:hAnsi="黑体" w:eastAsia="黑体" w:cs="黑体"/>
                <w:b/>
                <w:bCs/>
                <w:color w:val="000000" w:themeColor="text1"/>
                <w:sz w:val="36"/>
                <w:szCs w:val="44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年</w:t>
            </w:r>
            <w:r>
              <w:rPr>
                <w:rFonts w:hint="default" w:ascii="黑体" w:hAnsi="黑体" w:eastAsia="黑体" w:cs="黑体"/>
                <w:b/>
                <w:bCs/>
                <w:color w:val="000000" w:themeColor="text1"/>
                <w:sz w:val="36"/>
                <w:szCs w:val="44"/>
                <w:lang w:eastAsia="zh-Hans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="黑体" w:hAnsi="黑体" w:eastAsia="黑体" w:cs="黑体"/>
                <w:b/>
                <w:bCs/>
                <w:color w:val="000000" w:themeColor="text1"/>
                <w:sz w:val="36"/>
                <w:szCs w:val="4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</w:t>
            </w:r>
            <w:r>
              <w:rPr>
                <w:rFonts w:hint="default" w:ascii="黑体" w:hAnsi="黑体" w:eastAsia="黑体" w:cs="黑体"/>
                <w:b/>
                <w:bCs/>
                <w:color w:val="000000" w:themeColor="text1"/>
                <w:sz w:val="36"/>
                <w:szCs w:val="44"/>
                <w:lang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黑体" w:hAnsi="黑体" w:eastAsia="黑体" w:cs="黑体"/>
                <w:b/>
                <w:bCs/>
                <w:color w:val="000000" w:themeColor="text1"/>
                <w:sz w:val="36"/>
                <w:szCs w:val="44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年度</w:t>
            </w:r>
            <w:r>
              <w:rPr>
                <w:rFonts w:hint="eastAsia" w:ascii="黑体" w:hAnsi="黑体" w:eastAsia="黑体" w:cs="黑体"/>
                <w:b/>
                <w:bCs/>
                <w:color w:val="000000" w:themeColor="text1"/>
                <w:sz w:val="36"/>
                <w:szCs w:val="4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数据，已整理为面板数据格式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0" w:hRule="atLeast"/>
          <w:jc w:val="center"/>
        </w:trPr>
        <w:tc>
          <w:tcPr>
            <w:tcW w:w="1586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  <w:color w:val="000000" w:themeColor="text1"/>
                <w:sz w:val="28"/>
                <w:szCs w:val="36"/>
                <w:vertAlign w:val="baseline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 w:themeColor="text1"/>
                <w:sz w:val="28"/>
                <w:szCs w:val="36"/>
                <w:vertAlign w:val="baseline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人口</w:t>
            </w:r>
          </w:p>
        </w:tc>
        <w:tc>
          <w:tcPr>
            <w:tcW w:w="15639" w:type="dxa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sz w:val="28"/>
                <w:szCs w:val="36"/>
                <w:vertAlign w:val="baseline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sz w:val="28"/>
                <w:szCs w:val="36"/>
                <w:vertAlign w:val="baseline"/>
                <w:lang w:eastAsia="zh-Hans"/>
                <w14:textFill>
                  <w14:solidFill>
                    <w14:schemeClr w14:val="tx1"/>
                  </w14:solidFill>
                </w14:textFill>
              </w:rPr>
              <w:t>总人口、城镇人口、乡村人口</w:t>
            </w:r>
            <w:r>
              <w:rPr>
                <w:rFonts w:hint="default" w:ascii="仿宋_GB2312" w:hAnsi="仿宋_GB2312" w:eastAsia="仿宋_GB2312" w:cs="仿宋_GB2312"/>
                <w:b/>
                <w:bCs/>
                <w:color w:val="000000" w:themeColor="text1"/>
                <w:sz w:val="28"/>
                <w:szCs w:val="36"/>
                <w:lang w:eastAsia="zh-CN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sz w:val="28"/>
                <w:szCs w:val="36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可据此计算城镇化率）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sz w:val="28"/>
                <w:szCs w:val="3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sz w:val="28"/>
                <w:szCs w:val="36"/>
                <w:vertAlign w:val="baseline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人口出生率</w:t>
            </w:r>
            <w:r>
              <w:rPr>
                <w:rFonts w:hint="default" w:ascii="仿宋_GB2312" w:hAnsi="仿宋_GB2312" w:eastAsia="仿宋_GB2312" w:cs="仿宋_GB2312"/>
                <w:b/>
                <w:bCs/>
                <w:color w:val="000000" w:themeColor="text1"/>
                <w:sz w:val="28"/>
                <w:szCs w:val="36"/>
                <w:vertAlign w:val="baseline"/>
                <w:lang w:eastAsia="zh-Hans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sz w:val="28"/>
                <w:szCs w:val="36"/>
                <w:vertAlign w:val="baseline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人口死亡率</w:t>
            </w:r>
            <w:r>
              <w:rPr>
                <w:rFonts w:hint="default" w:ascii="仿宋_GB2312" w:hAnsi="仿宋_GB2312" w:eastAsia="仿宋_GB2312" w:cs="仿宋_GB2312"/>
                <w:b/>
                <w:bCs/>
                <w:color w:val="000000" w:themeColor="text1"/>
                <w:sz w:val="28"/>
                <w:szCs w:val="36"/>
                <w:vertAlign w:val="baseline"/>
                <w:lang w:eastAsia="zh-Hans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sz w:val="28"/>
                <w:szCs w:val="36"/>
                <w:vertAlign w:val="baseline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人口自然增长率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0" w:hRule="atLeast"/>
          <w:jc w:val="center"/>
        </w:trPr>
        <w:tc>
          <w:tcPr>
            <w:tcW w:w="1586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  <w:color w:val="000000" w:themeColor="text1"/>
                <w:sz w:val="28"/>
                <w:szCs w:val="36"/>
                <w:vertAlign w:val="baseline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 w:themeColor="text1"/>
                <w:sz w:val="28"/>
                <w:szCs w:val="36"/>
                <w:vertAlign w:val="baseline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宏观经济</w:t>
            </w:r>
          </w:p>
        </w:tc>
        <w:tc>
          <w:tcPr>
            <w:tcW w:w="15639" w:type="dxa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sz w:val="28"/>
                <w:szCs w:val="36"/>
                <w:vertAlign w:val="baseline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sz w:val="28"/>
                <w:szCs w:val="36"/>
                <w:vertAlign w:val="baseline"/>
                <w:lang w:eastAsia="zh-Hans"/>
                <w14:textFill>
                  <w14:solidFill>
                    <w14:schemeClr w14:val="tx1"/>
                  </w14:solidFill>
                </w14:textFill>
              </w:rPr>
              <w:t>GDP不变价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sz w:val="28"/>
                <w:szCs w:val="36"/>
                <w:vertAlign w:val="baseline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及增速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sz w:val="28"/>
                <w:szCs w:val="36"/>
                <w:vertAlign w:val="baseline"/>
                <w:lang w:eastAsia="zh-Hans"/>
                <w14:textFill>
                  <w14:solidFill>
                    <w14:schemeClr w14:val="tx1"/>
                  </w14:solidFill>
                </w14:textFill>
              </w:rPr>
              <w:t>、GDP现价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sz w:val="28"/>
                <w:szCs w:val="36"/>
                <w:vertAlign w:val="baseline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及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sz w:val="28"/>
                <w:szCs w:val="36"/>
                <w:vertAlign w:val="baseline"/>
                <w:lang w:eastAsia="zh-Hans"/>
                <w14:textFill>
                  <w14:solidFill>
                    <w14:schemeClr w14:val="tx1"/>
                  </w14:solidFill>
                </w14:textFill>
              </w:rPr>
              <w:t>增速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sz w:val="28"/>
                <w:szCs w:val="36"/>
                <w:vertAlign w:val="baseline"/>
                <w:lang w:eastAsia="zh-CN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sz w:val="28"/>
                <w:szCs w:val="3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第一产业增加值、第二产业增加值、第三产业增加值，工业增加值、金融业增加值，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sz w:val="28"/>
                <w:szCs w:val="36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人均GDP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sz w:val="28"/>
                <w:szCs w:val="3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sz w:val="28"/>
                <w:szCs w:val="36"/>
                <w:vertAlign w:val="baseline"/>
                <w:lang w:eastAsia="zh-Hans"/>
                <w14:textFill>
                  <w14:solidFill>
                    <w14:schemeClr w14:val="tx1"/>
                  </w14:solidFill>
                </w14:textFill>
              </w:rPr>
              <w:t>货币供应量M2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sz w:val="28"/>
                <w:szCs w:val="36"/>
                <w:vertAlign w:val="baseline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及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sz w:val="28"/>
                <w:szCs w:val="36"/>
                <w:vertAlign w:val="baseline"/>
                <w:lang w:eastAsia="zh-Hans"/>
                <w14:textFill>
                  <w14:solidFill>
                    <w14:schemeClr w14:val="tx1"/>
                  </w14:solidFill>
                </w14:textFill>
              </w:rPr>
              <w:t>增速、CPI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sz w:val="28"/>
                <w:szCs w:val="36"/>
                <w:vertAlign w:val="baseline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及增速</w:t>
            </w:r>
            <w:r>
              <w:rPr>
                <w:rFonts w:hint="default" w:ascii="仿宋_GB2312" w:hAnsi="仿宋_GB2312" w:eastAsia="仿宋_GB2312" w:cs="仿宋_GB2312"/>
                <w:b/>
                <w:bCs/>
                <w:color w:val="000000" w:themeColor="text1"/>
                <w:sz w:val="28"/>
                <w:szCs w:val="36"/>
                <w:vertAlign w:val="baseline"/>
                <w:lang w:eastAsia="zh-Hans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sz w:val="28"/>
                <w:szCs w:val="36"/>
                <w:vertAlign w:val="baseline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PPI及增速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sz w:val="28"/>
                <w:szCs w:val="36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sz w:val="28"/>
                <w:szCs w:val="36"/>
                <w:vertAlign w:val="baseline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企业法人单位数</w:t>
            </w:r>
            <w:r>
              <w:rPr>
                <w:rFonts w:hint="default" w:ascii="仿宋_GB2312" w:hAnsi="仿宋_GB2312" w:eastAsia="仿宋_GB2312" w:cs="仿宋_GB2312"/>
                <w:b/>
                <w:bCs/>
                <w:color w:val="000000" w:themeColor="text1"/>
                <w:sz w:val="28"/>
                <w:szCs w:val="36"/>
                <w:vertAlign w:val="baseline"/>
                <w:lang w:eastAsia="zh-Hans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sz w:val="28"/>
                <w:szCs w:val="36"/>
                <w:vertAlign w:val="baseline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外商控股企业法人单位数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sz w:val="28"/>
                <w:szCs w:val="36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sz w:val="28"/>
                <w:szCs w:val="36"/>
                <w:vertAlign w:val="baseline"/>
                <w:lang w:eastAsia="zh-Hans"/>
                <w14:textFill>
                  <w14:solidFill>
                    <w14:schemeClr w14:val="tx1"/>
                  </w14:solidFill>
                </w14:textFill>
              </w:rPr>
              <w:t>社会融资规模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0" w:hRule="atLeast"/>
          <w:jc w:val="center"/>
        </w:trPr>
        <w:tc>
          <w:tcPr>
            <w:tcW w:w="1586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  <w:color w:val="000000" w:themeColor="text1"/>
                <w:sz w:val="28"/>
                <w:szCs w:val="36"/>
                <w:vertAlign w:val="baseline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 w:themeColor="text1"/>
                <w:sz w:val="28"/>
                <w:szCs w:val="36"/>
                <w:vertAlign w:val="baseline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收入就业</w:t>
            </w:r>
          </w:p>
        </w:tc>
        <w:tc>
          <w:tcPr>
            <w:tcW w:w="15639" w:type="dxa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sz w:val="28"/>
                <w:szCs w:val="36"/>
                <w:vertAlign w:val="baseline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sz w:val="28"/>
                <w:szCs w:val="36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财政收入及增速、中央财政收入、地方财政收入、财政支出及增速、中央财政支出、地方财政支出，劳动力人数，就业人员、第一产业就业人员、第二产业就业人员、第三产业就业人员，城镇就业人员、乡村就业人员，城镇单位就业人员，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sz w:val="28"/>
                <w:szCs w:val="36"/>
                <w:vertAlign w:val="baseline"/>
                <w:lang w:eastAsia="zh-Hans"/>
                <w14:textFill>
                  <w14:solidFill>
                    <w14:schemeClr w14:val="tx1"/>
                  </w14:solidFill>
                </w14:textFill>
              </w:rPr>
              <w:t>城镇居民人均可支配收入</w:t>
            </w:r>
            <w:r>
              <w:rPr>
                <w:rFonts w:hint="default" w:ascii="仿宋_GB2312" w:hAnsi="仿宋_GB2312" w:eastAsia="仿宋_GB2312" w:cs="仿宋_GB2312"/>
                <w:b/>
                <w:bCs/>
                <w:color w:val="000000" w:themeColor="text1"/>
                <w:sz w:val="28"/>
                <w:szCs w:val="36"/>
                <w:vertAlign w:val="baseline"/>
                <w:lang w:eastAsia="zh-Hans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sz w:val="28"/>
                <w:szCs w:val="36"/>
                <w:vertAlign w:val="baseline"/>
                <w:lang w:eastAsia="zh-Hans"/>
                <w14:textFill>
                  <w14:solidFill>
                    <w14:schemeClr w14:val="tx1"/>
                  </w14:solidFill>
                </w14:textFill>
              </w:rPr>
              <w:t>人均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sz w:val="28"/>
                <w:szCs w:val="36"/>
                <w:vertAlign w:val="baseline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消费支出</w:t>
            </w:r>
            <w:r>
              <w:rPr>
                <w:rFonts w:hint="default" w:ascii="仿宋_GB2312" w:hAnsi="仿宋_GB2312" w:eastAsia="仿宋_GB2312" w:cs="仿宋_GB2312"/>
                <w:b/>
                <w:bCs/>
                <w:color w:val="000000" w:themeColor="text1"/>
                <w:sz w:val="28"/>
                <w:szCs w:val="36"/>
                <w:vertAlign w:val="baseline"/>
                <w:lang w:eastAsia="zh-Hans"/>
                <w14:textFill>
                  <w14:solidFill>
                    <w14:schemeClr w14:val="tx1"/>
                  </w14:solidFill>
                </w14:textFill>
              </w:rPr>
              <w:t>）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sz w:val="28"/>
                <w:szCs w:val="36"/>
                <w:vertAlign w:val="baseline"/>
                <w:lang w:eastAsia="zh-Hans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sz w:val="28"/>
                <w:szCs w:val="36"/>
                <w:vertAlign w:val="baseline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农村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sz w:val="28"/>
                <w:szCs w:val="36"/>
                <w:vertAlign w:val="baseline"/>
                <w:lang w:eastAsia="zh-Hans"/>
                <w14:textFill>
                  <w14:solidFill>
                    <w14:schemeClr w14:val="tx1"/>
                  </w14:solidFill>
                </w14:textFill>
              </w:rPr>
              <w:t>居民人均可支配收入</w:t>
            </w:r>
            <w:r>
              <w:rPr>
                <w:rFonts w:hint="default" w:ascii="仿宋_GB2312" w:hAnsi="仿宋_GB2312" w:eastAsia="仿宋_GB2312" w:cs="仿宋_GB2312"/>
                <w:b/>
                <w:bCs/>
                <w:color w:val="000000" w:themeColor="text1"/>
                <w:sz w:val="28"/>
                <w:szCs w:val="36"/>
                <w:vertAlign w:val="baseline"/>
                <w:lang w:eastAsia="zh-Hans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sz w:val="28"/>
                <w:szCs w:val="36"/>
                <w:vertAlign w:val="baseline"/>
                <w:lang w:eastAsia="zh-Hans"/>
                <w14:textFill>
                  <w14:solidFill>
                    <w14:schemeClr w14:val="tx1"/>
                  </w14:solidFill>
                </w14:textFill>
              </w:rPr>
              <w:t>人均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sz w:val="28"/>
                <w:szCs w:val="36"/>
                <w:vertAlign w:val="baseline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消费支出</w:t>
            </w:r>
            <w:r>
              <w:rPr>
                <w:rFonts w:hint="default" w:ascii="仿宋_GB2312" w:hAnsi="仿宋_GB2312" w:eastAsia="仿宋_GB2312" w:cs="仿宋_GB2312"/>
                <w:b/>
                <w:bCs/>
                <w:color w:val="000000" w:themeColor="text1"/>
                <w:sz w:val="28"/>
                <w:szCs w:val="36"/>
                <w:vertAlign w:val="baseline"/>
                <w:lang w:eastAsia="zh-Hans"/>
                <w14:textFill>
                  <w14:solidFill>
                    <w14:schemeClr w14:val="tx1"/>
                  </w14:solidFill>
                </w14:textFill>
              </w:rPr>
              <w:t>）、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sz w:val="28"/>
                <w:szCs w:val="36"/>
                <w:vertAlign w:val="baseline"/>
                <w:lang w:eastAsia="zh-Hans"/>
                <w14:textFill>
                  <w14:solidFill>
                    <w14:schemeClr w14:val="tx1"/>
                  </w14:solidFill>
                </w14:textFill>
              </w:rPr>
              <w:t>城镇登记失业率、城镇调查失业率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0" w:hRule="atLeast"/>
          <w:jc w:val="center"/>
        </w:trPr>
        <w:tc>
          <w:tcPr>
            <w:tcW w:w="1586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  <w:color w:val="000000" w:themeColor="text1"/>
                <w:sz w:val="28"/>
                <w:szCs w:val="36"/>
                <w:vertAlign w:val="baseline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 w:themeColor="text1"/>
                <w:sz w:val="28"/>
                <w:szCs w:val="36"/>
                <w:vertAlign w:val="baseline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贸易投资</w:t>
            </w:r>
          </w:p>
          <w:p>
            <w:pPr>
              <w:jc w:val="center"/>
              <w:rPr>
                <w:rFonts w:hint="default" w:ascii="黑体" w:hAnsi="黑体" w:eastAsia="黑体" w:cs="黑体"/>
                <w:b/>
                <w:bCs/>
                <w:color w:val="000000" w:themeColor="text1"/>
                <w:sz w:val="28"/>
                <w:szCs w:val="36"/>
                <w:vertAlign w:val="baseline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 w:themeColor="text1"/>
                <w:sz w:val="28"/>
                <w:szCs w:val="36"/>
                <w:vertAlign w:val="baseline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消费</w:t>
            </w:r>
          </w:p>
        </w:tc>
        <w:tc>
          <w:tcPr>
            <w:tcW w:w="15639" w:type="dxa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sz w:val="28"/>
                <w:szCs w:val="36"/>
                <w:vertAlign w:val="baseline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sz w:val="28"/>
                <w:szCs w:val="36"/>
                <w:vertAlign w:val="baseline"/>
                <w:lang w:eastAsia="zh-Hans"/>
                <w14:textFill>
                  <w14:solidFill>
                    <w14:schemeClr w14:val="tx1"/>
                  </w14:solidFill>
                </w14:textFill>
              </w:rPr>
              <w:t>进出口总额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sz w:val="28"/>
                <w:szCs w:val="36"/>
                <w:vertAlign w:val="baseline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及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sz w:val="28"/>
                <w:szCs w:val="36"/>
                <w:vertAlign w:val="baseline"/>
                <w:lang w:eastAsia="zh-Hans"/>
                <w14:textFill>
                  <w14:solidFill>
                    <w14:schemeClr w14:val="tx1"/>
                  </w14:solidFill>
                </w14:textFill>
              </w:rPr>
              <w:t>增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sz w:val="28"/>
                <w:szCs w:val="36"/>
                <w:vertAlign w:val="baseline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速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sz w:val="28"/>
                <w:szCs w:val="36"/>
                <w:vertAlign w:val="baseline"/>
                <w:lang w:eastAsia="zh-Hans"/>
                <w14:textFill>
                  <w14:solidFill>
                    <w14:schemeClr w14:val="tx1"/>
                  </w14:solidFill>
                </w14:textFill>
              </w:rPr>
              <w:t>、出口总额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sz w:val="28"/>
                <w:szCs w:val="36"/>
                <w:vertAlign w:val="baseline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及增速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sz w:val="28"/>
                <w:szCs w:val="36"/>
                <w:vertAlign w:val="baseline"/>
                <w:lang w:eastAsia="zh-Hans"/>
                <w14:textFill>
                  <w14:solidFill>
                    <w14:schemeClr w14:val="tx1"/>
                  </w14:solidFill>
                </w14:textFill>
              </w:rPr>
              <w:t>、进口总额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sz w:val="28"/>
                <w:szCs w:val="36"/>
                <w:vertAlign w:val="baseline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及增速</w:t>
            </w:r>
            <w:r>
              <w:rPr>
                <w:rFonts w:hint="default" w:ascii="仿宋_GB2312" w:hAnsi="仿宋_GB2312" w:eastAsia="仿宋_GB2312" w:cs="仿宋_GB2312"/>
                <w:b/>
                <w:bCs/>
                <w:color w:val="000000" w:themeColor="text1"/>
                <w:sz w:val="28"/>
                <w:szCs w:val="36"/>
                <w:vertAlign w:val="baseline"/>
                <w:lang w:eastAsia="zh-Hans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sz w:val="28"/>
                <w:szCs w:val="36"/>
                <w:vertAlign w:val="baseline"/>
                <w:lang w:eastAsia="zh-Hans"/>
                <w14:textFill>
                  <w14:solidFill>
                    <w14:schemeClr w14:val="tx1"/>
                  </w14:solidFill>
                </w14:textFill>
              </w:rPr>
              <w:t>固定资产投资完成额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sz w:val="28"/>
                <w:szCs w:val="36"/>
                <w:vertAlign w:val="baseline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及增速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sz w:val="28"/>
                <w:szCs w:val="36"/>
                <w:vertAlign w:val="baseline"/>
                <w:lang w:eastAsia="zh-Hans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sz w:val="28"/>
                <w:szCs w:val="36"/>
                <w:vertAlign w:val="baseline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房地产开发投资及增速</w:t>
            </w:r>
            <w:r>
              <w:rPr>
                <w:rFonts w:hint="default" w:ascii="仿宋_GB2312" w:hAnsi="仿宋_GB2312" w:eastAsia="仿宋_GB2312" w:cs="仿宋_GB2312"/>
                <w:b/>
                <w:bCs/>
                <w:color w:val="000000" w:themeColor="text1"/>
                <w:sz w:val="28"/>
                <w:szCs w:val="36"/>
                <w:vertAlign w:val="baseline"/>
                <w:lang w:eastAsia="zh-Hans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sz w:val="28"/>
                <w:szCs w:val="3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商品房销售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sz w:val="28"/>
                <w:szCs w:val="36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面积</w:t>
            </w:r>
            <w:r>
              <w:rPr>
                <w:rFonts w:hint="default" w:ascii="仿宋_GB2312" w:hAnsi="仿宋_GB2312" w:eastAsia="仿宋_GB2312" w:cs="仿宋_GB2312"/>
                <w:b/>
                <w:bCs/>
                <w:color w:val="000000" w:themeColor="text1"/>
                <w:sz w:val="28"/>
                <w:szCs w:val="36"/>
                <w:lang w:eastAsia="zh-Hans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sz w:val="28"/>
                <w:szCs w:val="3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商品房销售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sz w:val="28"/>
                <w:szCs w:val="36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额</w:t>
            </w:r>
            <w:r>
              <w:rPr>
                <w:rFonts w:hint="default" w:ascii="仿宋_GB2312" w:hAnsi="仿宋_GB2312" w:eastAsia="仿宋_GB2312" w:cs="仿宋_GB2312"/>
                <w:b/>
                <w:bCs/>
                <w:color w:val="000000" w:themeColor="text1"/>
                <w:sz w:val="28"/>
                <w:szCs w:val="36"/>
                <w:lang w:eastAsia="zh-Hans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sz w:val="28"/>
                <w:szCs w:val="3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商品房销售价格</w:t>
            </w:r>
            <w:r>
              <w:rPr>
                <w:rFonts w:hint="default" w:ascii="仿宋_GB2312" w:hAnsi="仿宋_GB2312" w:eastAsia="仿宋_GB2312" w:cs="仿宋_GB2312"/>
                <w:b/>
                <w:bCs/>
                <w:color w:val="000000" w:themeColor="text1"/>
                <w:sz w:val="28"/>
                <w:szCs w:val="36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sz w:val="28"/>
                <w:szCs w:val="36"/>
                <w:vertAlign w:val="baseline"/>
                <w:lang w:eastAsia="zh-Hans"/>
                <w14:textFill>
                  <w14:solidFill>
                    <w14:schemeClr w14:val="tx1"/>
                  </w14:solidFill>
                </w14:textFill>
              </w:rPr>
              <w:t>社会消费品零售总额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0" w:hRule="atLeast"/>
          <w:jc w:val="center"/>
        </w:trPr>
        <w:tc>
          <w:tcPr>
            <w:tcW w:w="1586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  <w:color w:val="000000" w:themeColor="text1"/>
                <w:sz w:val="28"/>
                <w:szCs w:val="36"/>
                <w:vertAlign w:val="baseline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 w:themeColor="text1"/>
                <w:sz w:val="28"/>
                <w:szCs w:val="36"/>
                <w:vertAlign w:val="baseline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金融保险</w:t>
            </w:r>
          </w:p>
          <w:p>
            <w:pPr>
              <w:jc w:val="center"/>
              <w:rPr>
                <w:rFonts w:hint="default" w:ascii="黑体" w:hAnsi="黑体" w:eastAsia="黑体" w:cs="黑体"/>
                <w:b/>
                <w:bCs/>
                <w:color w:val="000000" w:themeColor="text1"/>
                <w:sz w:val="28"/>
                <w:szCs w:val="36"/>
                <w:vertAlign w:val="baseline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 w:themeColor="text1"/>
                <w:sz w:val="28"/>
                <w:szCs w:val="36"/>
                <w:vertAlign w:val="baseline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科技</w:t>
            </w:r>
          </w:p>
        </w:tc>
        <w:tc>
          <w:tcPr>
            <w:tcW w:w="15639" w:type="dxa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sz w:val="28"/>
                <w:szCs w:val="36"/>
                <w:vertAlign w:val="baseline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sz w:val="28"/>
                <w:szCs w:val="36"/>
                <w:vertAlign w:val="baseline"/>
                <w:lang w:eastAsia="zh-Hans"/>
                <w14:textFill>
                  <w14:solidFill>
                    <w14:schemeClr w14:val="tx1"/>
                  </w14:solidFill>
                </w14:textFill>
              </w:rPr>
              <w:t>金融机构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sz w:val="28"/>
                <w:szCs w:val="36"/>
                <w:vertAlign w:val="baseline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本外币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sz w:val="28"/>
                <w:szCs w:val="36"/>
                <w:vertAlign w:val="baseline"/>
                <w:lang w:eastAsia="zh-Hans"/>
                <w14:textFill>
                  <w14:solidFill>
                    <w14:schemeClr w14:val="tx1"/>
                  </w14:solidFill>
                </w14:textFill>
              </w:rPr>
              <w:t>存款余额、贷款余额、短期贷款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sz w:val="28"/>
                <w:szCs w:val="36"/>
                <w:vertAlign w:val="baseline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余额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sz w:val="28"/>
                <w:szCs w:val="36"/>
                <w:vertAlign w:val="baseline"/>
                <w:lang w:eastAsia="zh-Hans"/>
                <w14:textFill>
                  <w14:solidFill>
                    <w14:schemeClr w14:val="tx1"/>
                  </w14:solidFill>
                </w14:textFill>
              </w:rPr>
              <w:t>、中长期贷款余额、个人住房贷款余额、个人短期消费贷款、个人中长期消费贷款、个人消费贷款、商业银行不良贷款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sz w:val="28"/>
                <w:szCs w:val="36"/>
                <w:vertAlign w:val="baseline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余额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sz w:val="28"/>
                <w:szCs w:val="36"/>
                <w:vertAlign w:val="baseline"/>
                <w:lang w:eastAsia="zh-Hans"/>
                <w14:textFill>
                  <w14:solidFill>
                    <w14:schemeClr w14:val="tx1"/>
                  </w14:solidFill>
                </w14:textFill>
              </w:rPr>
              <w:t>、商业银行不良贷款率、中国居民部门杠杆率</w:t>
            </w:r>
            <w:r>
              <w:rPr>
                <w:rFonts w:hint="default" w:ascii="仿宋_GB2312" w:hAnsi="仿宋_GB2312" w:eastAsia="仿宋_GB2312" w:cs="仿宋_GB2312"/>
                <w:b/>
                <w:bCs/>
                <w:color w:val="000000" w:themeColor="text1"/>
                <w:sz w:val="28"/>
                <w:szCs w:val="36"/>
                <w:vertAlign w:val="baseline"/>
                <w:lang w:eastAsia="zh-Hans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sz w:val="28"/>
                <w:szCs w:val="36"/>
                <w:vertAlign w:val="baseline"/>
                <w:lang w:eastAsia="zh-Hans"/>
                <w14:textFill>
                  <w14:solidFill>
                    <w14:schemeClr w14:val="tx1"/>
                  </w14:solidFill>
                </w14:textFill>
              </w:rPr>
              <w:t>法定存款准备金率、第三方互联网支付规模</w:t>
            </w:r>
            <w:r>
              <w:rPr>
                <w:rFonts w:hint="default" w:ascii="仿宋_GB2312" w:hAnsi="仿宋_GB2312" w:eastAsia="仿宋_GB2312" w:cs="仿宋_GB2312"/>
                <w:b/>
                <w:bCs/>
                <w:color w:val="000000" w:themeColor="text1"/>
                <w:sz w:val="28"/>
                <w:szCs w:val="36"/>
                <w:vertAlign w:val="baseline"/>
                <w:lang w:eastAsia="zh-Hans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sz w:val="28"/>
                <w:szCs w:val="3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保费收入、保费赔付</w:t>
            </w:r>
            <w:r>
              <w:rPr>
                <w:rFonts w:hint="default" w:ascii="仿宋_GB2312" w:hAnsi="仿宋_GB2312" w:eastAsia="仿宋_GB2312" w:cs="仿宋_GB2312"/>
                <w:b/>
                <w:bCs/>
                <w:color w:val="000000" w:themeColor="text1"/>
                <w:sz w:val="28"/>
                <w:szCs w:val="36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sz w:val="28"/>
                <w:szCs w:val="36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专利授权量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0" w:hRule="atLeast"/>
          <w:jc w:val="center"/>
        </w:trPr>
        <w:tc>
          <w:tcPr>
            <w:tcW w:w="17225" w:type="dxa"/>
            <w:gridSpan w:val="2"/>
            <w:vAlign w:val="center"/>
          </w:tcPr>
          <w:p>
            <w:pPr>
              <w:jc w:val="center"/>
              <w:rPr>
                <w:rFonts w:hint="default" w:ascii="黑体" w:hAnsi="黑体" w:eastAsia="黑体" w:cs="黑体"/>
                <w:b/>
                <w:bCs/>
                <w:color w:val="000000" w:themeColor="text1"/>
                <w:sz w:val="28"/>
                <w:szCs w:val="36"/>
                <w:vertAlign w:val="baseline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 w:themeColor="text1"/>
                <w:sz w:val="36"/>
                <w:szCs w:val="44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省级层面</w:t>
            </w:r>
            <w:r>
              <w:rPr>
                <w:rFonts w:hint="default" w:ascii="黑体" w:hAnsi="黑体" w:eastAsia="黑体" w:cs="黑体"/>
                <w:b/>
                <w:bCs/>
                <w:color w:val="000000" w:themeColor="text1"/>
                <w:sz w:val="36"/>
                <w:szCs w:val="44"/>
                <w:lang w:eastAsia="zh-Hans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黑体" w:hAnsi="黑体" w:eastAsia="黑体" w:cs="黑体"/>
                <w:b/>
                <w:bCs/>
                <w:color w:val="000000" w:themeColor="text1"/>
                <w:sz w:val="36"/>
                <w:szCs w:val="4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2000</w:t>
            </w:r>
            <w:r>
              <w:rPr>
                <w:rFonts w:hint="eastAsia" w:ascii="黑体" w:hAnsi="黑体" w:eastAsia="黑体" w:cs="黑体"/>
                <w:b/>
                <w:bCs/>
                <w:color w:val="000000" w:themeColor="text1"/>
                <w:sz w:val="36"/>
                <w:szCs w:val="44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年</w:t>
            </w:r>
            <w:r>
              <w:rPr>
                <w:rFonts w:hint="default" w:ascii="黑体" w:hAnsi="黑体" w:eastAsia="黑体" w:cs="黑体"/>
                <w:b/>
                <w:bCs/>
                <w:color w:val="000000" w:themeColor="text1"/>
                <w:sz w:val="36"/>
                <w:szCs w:val="44"/>
                <w:lang w:eastAsia="zh-Hans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="黑体" w:hAnsi="黑体" w:eastAsia="黑体" w:cs="黑体"/>
                <w:b/>
                <w:bCs/>
                <w:color w:val="000000" w:themeColor="text1"/>
                <w:sz w:val="36"/>
                <w:szCs w:val="4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</w:t>
            </w:r>
            <w:r>
              <w:rPr>
                <w:rFonts w:hint="default" w:ascii="黑体" w:hAnsi="黑体" w:eastAsia="黑体" w:cs="黑体"/>
                <w:b/>
                <w:bCs/>
                <w:color w:val="000000" w:themeColor="text1"/>
                <w:sz w:val="36"/>
                <w:szCs w:val="44"/>
                <w:lang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黑体" w:hAnsi="黑体" w:eastAsia="黑体" w:cs="黑体"/>
                <w:b/>
                <w:bCs/>
                <w:color w:val="000000" w:themeColor="text1"/>
                <w:sz w:val="36"/>
                <w:szCs w:val="44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年度</w:t>
            </w:r>
            <w:r>
              <w:rPr>
                <w:rFonts w:hint="eastAsia" w:ascii="黑体" w:hAnsi="黑体" w:eastAsia="黑体" w:cs="黑体"/>
                <w:b/>
                <w:bCs/>
                <w:color w:val="000000" w:themeColor="text1"/>
                <w:sz w:val="36"/>
                <w:szCs w:val="4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数据，已整理为面板数据</w:t>
            </w:r>
            <w:r>
              <w:rPr>
                <w:rFonts w:hint="eastAsia" w:ascii="黑体" w:hAnsi="黑体" w:eastAsia="黑体" w:cs="黑体"/>
                <w:b/>
                <w:bCs/>
                <w:color w:val="000000" w:themeColor="text1"/>
                <w:sz w:val="36"/>
                <w:szCs w:val="44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格式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0" w:hRule="atLeast"/>
          <w:jc w:val="center"/>
        </w:trPr>
        <w:tc>
          <w:tcPr>
            <w:tcW w:w="1586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  <w:color w:val="000000" w:themeColor="text1"/>
                <w:sz w:val="28"/>
                <w:szCs w:val="36"/>
                <w:vertAlign w:val="baseline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 w:themeColor="text1"/>
                <w:sz w:val="28"/>
                <w:szCs w:val="36"/>
                <w:vertAlign w:val="baseline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省份</w:t>
            </w:r>
          </w:p>
        </w:tc>
        <w:tc>
          <w:tcPr>
            <w:tcW w:w="15639" w:type="dxa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sz w:val="28"/>
                <w:szCs w:val="36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黑体" w:hAnsi="黑体" w:eastAsia="黑体" w:cs="黑体"/>
                <w:b/>
                <w:bCs/>
                <w:color w:val="000000" w:themeColor="text1"/>
                <w:sz w:val="28"/>
                <w:szCs w:val="36"/>
                <w:vertAlign w:val="baseline"/>
                <w:lang w:eastAsia="zh-Hans"/>
                <w14:textFill>
                  <w14:solidFill>
                    <w14:schemeClr w14:val="tx1"/>
                  </w14:solidFill>
                </w14:textFill>
              </w:rPr>
              <w:t>31</w:t>
            </w:r>
            <w:r>
              <w:rPr>
                <w:rFonts w:hint="eastAsia" w:ascii="黑体" w:hAnsi="黑体" w:eastAsia="黑体" w:cs="黑体"/>
                <w:b/>
                <w:bCs/>
                <w:color w:val="000000" w:themeColor="text1"/>
                <w:sz w:val="28"/>
                <w:szCs w:val="36"/>
                <w:vertAlign w:val="baseline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个省级行政区</w:t>
            </w:r>
            <w:r>
              <w:rPr>
                <w:rFonts w:hint="default" w:ascii="黑体" w:hAnsi="黑体" w:eastAsia="黑体" w:cs="黑体"/>
                <w:b/>
                <w:bCs/>
                <w:color w:val="000000" w:themeColor="text1"/>
                <w:sz w:val="28"/>
                <w:szCs w:val="36"/>
                <w:vertAlign w:val="baseline"/>
                <w:lang w:eastAsia="zh-Hans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eastAsia" w:ascii="黑体" w:hAnsi="黑体" w:eastAsia="黑体" w:cs="黑体"/>
                <w:b/>
                <w:bCs/>
                <w:color w:val="000000" w:themeColor="text1"/>
                <w:sz w:val="28"/>
                <w:szCs w:val="36"/>
                <w:vertAlign w:val="baseline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不含港澳台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0" w:hRule="atLeast"/>
          <w:jc w:val="center"/>
        </w:trPr>
        <w:tc>
          <w:tcPr>
            <w:tcW w:w="1586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  <w:color w:val="000000" w:themeColor="text1"/>
                <w:sz w:val="28"/>
                <w:szCs w:val="36"/>
                <w:vertAlign w:val="baseline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 w:themeColor="text1"/>
                <w:sz w:val="28"/>
                <w:szCs w:val="36"/>
                <w:vertAlign w:val="baseline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人口</w:t>
            </w:r>
          </w:p>
        </w:tc>
        <w:tc>
          <w:tcPr>
            <w:tcW w:w="15639" w:type="dxa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sz w:val="28"/>
                <w:szCs w:val="3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sz w:val="28"/>
                <w:szCs w:val="3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常住人口、城镇人口、乡村人口</w:t>
            </w:r>
            <w:r>
              <w:rPr>
                <w:rFonts w:hint="default" w:ascii="仿宋_GB2312" w:hAnsi="仿宋_GB2312" w:eastAsia="仿宋_GB2312" w:cs="仿宋_GB2312"/>
                <w:b/>
                <w:bCs/>
                <w:color w:val="000000" w:themeColor="text1"/>
                <w:sz w:val="28"/>
                <w:szCs w:val="36"/>
                <w:lang w:eastAsia="zh-CN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sz w:val="28"/>
                <w:szCs w:val="36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可据此计算城镇化率）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sz w:val="28"/>
                <w:szCs w:val="3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sz w:val="28"/>
                <w:szCs w:val="36"/>
                <w:vertAlign w:val="baseline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人口出生率</w:t>
            </w:r>
            <w:r>
              <w:rPr>
                <w:rFonts w:hint="default" w:ascii="仿宋_GB2312" w:hAnsi="仿宋_GB2312" w:eastAsia="仿宋_GB2312" w:cs="仿宋_GB2312"/>
                <w:b/>
                <w:bCs/>
                <w:color w:val="000000" w:themeColor="text1"/>
                <w:sz w:val="28"/>
                <w:szCs w:val="36"/>
                <w:vertAlign w:val="baseline"/>
                <w:lang w:eastAsia="zh-Hans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sz w:val="28"/>
                <w:szCs w:val="36"/>
                <w:vertAlign w:val="baseline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人口死亡率</w:t>
            </w:r>
            <w:r>
              <w:rPr>
                <w:rFonts w:hint="default" w:ascii="仿宋_GB2312" w:hAnsi="仿宋_GB2312" w:eastAsia="仿宋_GB2312" w:cs="仿宋_GB2312"/>
                <w:b/>
                <w:bCs/>
                <w:color w:val="000000" w:themeColor="text1"/>
                <w:sz w:val="28"/>
                <w:szCs w:val="36"/>
                <w:vertAlign w:val="baseline"/>
                <w:lang w:eastAsia="zh-Hans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sz w:val="28"/>
                <w:szCs w:val="36"/>
                <w:vertAlign w:val="baseline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人口自然增长率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0" w:hRule="atLeast"/>
          <w:jc w:val="center"/>
        </w:trPr>
        <w:tc>
          <w:tcPr>
            <w:tcW w:w="1586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  <w:color w:val="000000" w:themeColor="text1"/>
                <w:sz w:val="28"/>
                <w:szCs w:val="36"/>
                <w:vertAlign w:val="baseline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 w:themeColor="text1"/>
                <w:sz w:val="28"/>
                <w:szCs w:val="36"/>
                <w:vertAlign w:val="baseline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宏观经济</w:t>
            </w:r>
          </w:p>
        </w:tc>
        <w:tc>
          <w:tcPr>
            <w:tcW w:w="15639" w:type="dxa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sz w:val="28"/>
                <w:szCs w:val="36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sz w:val="28"/>
                <w:szCs w:val="3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GDP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sz w:val="28"/>
                <w:szCs w:val="36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及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sz w:val="28"/>
                <w:szCs w:val="3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增速，第一产业增加值、第二产业增加值、第三产业增加值，工业增加值、金融业增加值，人均GDP、CPI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sz w:val="28"/>
                <w:szCs w:val="36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及增速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sz w:val="28"/>
                <w:szCs w:val="3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sz w:val="28"/>
                <w:szCs w:val="36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PPI及增速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sz w:val="28"/>
                <w:szCs w:val="3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sz w:val="28"/>
                <w:szCs w:val="36"/>
                <w:vertAlign w:val="baseline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企业法人单位数</w:t>
            </w:r>
            <w:r>
              <w:rPr>
                <w:rFonts w:hint="default" w:ascii="仿宋_GB2312" w:hAnsi="仿宋_GB2312" w:eastAsia="仿宋_GB2312" w:cs="仿宋_GB2312"/>
                <w:b/>
                <w:bCs/>
                <w:color w:val="000000" w:themeColor="text1"/>
                <w:sz w:val="28"/>
                <w:szCs w:val="36"/>
                <w:vertAlign w:val="baseline"/>
                <w:lang w:eastAsia="zh-Hans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sz w:val="28"/>
                <w:szCs w:val="36"/>
                <w:vertAlign w:val="baseline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外商控股企业法人单位数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0" w:hRule="atLeast"/>
          <w:jc w:val="center"/>
        </w:trPr>
        <w:tc>
          <w:tcPr>
            <w:tcW w:w="1586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  <w:color w:val="000000" w:themeColor="text1"/>
                <w:sz w:val="28"/>
                <w:szCs w:val="36"/>
                <w:vertAlign w:val="baseline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 w:themeColor="text1"/>
                <w:sz w:val="28"/>
                <w:szCs w:val="36"/>
                <w:vertAlign w:val="baseline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收入就业</w:t>
            </w:r>
          </w:p>
        </w:tc>
        <w:tc>
          <w:tcPr>
            <w:tcW w:w="15639" w:type="dxa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sz w:val="28"/>
                <w:szCs w:val="36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sz w:val="28"/>
                <w:szCs w:val="3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财政收入、财政支出，城镇单位就业人数，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sz w:val="28"/>
                <w:szCs w:val="36"/>
                <w:vertAlign w:val="baseline"/>
                <w:lang w:eastAsia="zh-Hans"/>
                <w14:textFill>
                  <w14:solidFill>
                    <w14:schemeClr w14:val="tx1"/>
                  </w14:solidFill>
                </w14:textFill>
              </w:rPr>
              <w:t>城镇居民人均可支配收入</w:t>
            </w:r>
            <w:r>
              <w:rPr>
                <w:rFonts w:hint="default" w:ascii="仿宋_GB2312" w:hAnsi="仿宋_GB2312" w:eastAsia="仿宋_GB2312" w:cs="仿宋_GB2312"/>
                <w:b/>
                <w:bCs/>
                <w:color w:val="000000" w:themeColor="text1"/>
                <w:sz w:val="28"/>
                <w:szCs w:val="36"/>
                <w:vertAlign w:val="baseline"/>
                <w:lang w:eastAsia="zh-Hans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sz w:val="28"/>
                <w:szCs w:val="36"/>
                <w:vertAlign w:val="baseline"/>
                <w:lang w:eastAsia="zh-Hans"/>
                <w14:textFill>
                  <w14:solidFill>
                    <w14:schemeClr w14:val="tx1"/>
                  </w14:solidFill>
                </w14:textFill>
              </w:rPr>
              <w:t>人均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sz w:val="28"/>
                <w:szCs w:val="36"/>
                <w:vertAlign w:val="baseline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消费支出</w:t>
            </w:r>
            <w:r>
              <w:rPr>
                <w:rFonts w:hint="default" w:ascii="仿宋_GB2312" w:hAnsi="仿宋_GB2312" w:eastAsia="仿宋_GB2312" w:cs="仿宋_GB2312"/>
                <w:b/>
                <w:bCs/>
                <w:color w:val="000000" w:themeColor="text1"/>
                <w:sz w:val="28"/>
                <w:szCs w:val="36"/>
                <w:vertAlign w:val="baseline"/>
                <w:lang w:eastAsia="zh-Hans"/>
                <w14:textFill>
                  <w14:solidFill>
                    <w14:schemeClr w14:val="tx1"/>
                  </w14:solidFill>
                </w14:textFill>
              </w:rPr>
              <w:t>）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sz w:val="28"/>
                <w:szCs w:val="36"/>
                <w:vertAlign w:val="baseline"/>
                <w:lang w:eastAsia="zh-Hans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sz w:val="28"/>
                <w:szCs w:val="36"/>
                <w:vertAlign w:val="baseline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农村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sz w:val="28"/>
                <w:szCs w:val="36"/>
                <w:vertAlign w:val="baseline"/>
                <w:lang w:eastAsia="zh-Hans"/>
                <w14:textFill>
                  <w14:solidFill>
                    <w14:schemeClr w14:val="tx1"/>
                  </w14:solidFill>
                </w14:textFill>
              </w:rPr>
              <w:t>居民人均可支配收入</w:t>
            </w:r>
            <w:r>
              <w:rPr>
                <w:rFonts w:hint="default" w:ascii="仿宋_GB2312" w:hAnsi="仿宋_GB2312" w:eastAsia="仿宋_GB2312" w:cs="仿宋_GB2312"/>
                <w:b/>
                <w:bCs/>
                <w:color w:val="000000" w:themeColor="text1"/>
                <w:sz w:val="28"/>
                <w:szCs w:val="36"/>
                <w:vertAlign w:val="baseline"/>
                <w:lang w:eastAsia="zh-Hans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sz w:val="28"/>
                <w:szCs w:val="36"/>
                <w:vertAlign w:val="baseline"/>
                <w:lang w:eastAsia="zh-Hans"/>
                <w14:textFill>
                  <w14:solidFill>
                    <w14:schemeClr w14:val="tx1"/>
                  </w14:solidFill>
                </w14:textFill>
              </w:rPr>
              <w:t>人均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sz w:val="28"/>
                <w:szCs w:val="36"/>
                <w:vertAlign w:val="baseline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消费支出</w:t>
            </w:r>
            <w:r>
              <w:rPr>
                <w:rFonts w:hint="default" w:ascii="仿宋_GB2312" w:hAnsi="仿宋_GB2312" w:eastAsia="仿宋_GB2312" w:cs="仿宋_GB2312"/>
                <w:b/>
                <w:bCs/>
                <w:color w:val="000000" w:themeColor="text1"/>
                <w:sz w:val="28"/>
                <w:szCs w:val="36"/>
                <w:vertAlign w:val="baseline"/>
                <w:lang w:eastAsia="zh-Hans"/>
                <w14:textFill>
                  <w14:solidFill>
                    <w14:schemeClr w14:val="tx1"/>
                  </w14:solidFill>
                </w14:textFill>
              </w:rPr>
              <w:t>）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sz w:val="28"/>
                <w:szCs w:val="36"/>
                <w:vertAlign w:val="baseline"/>
                <w:lang w:eastAsia="zh-CN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sz w:val="28"/>
                <w:szCs w:val="3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城镇登记失业率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0" w:hRule="atLeast"/>
          <w:jc w:val="center"/>
        </w:trPr>
        <w:tc>
          <w:tcPr>
            <w:tcW w:w="1586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  <w:color w:val="000000" w:themeColor="text1"/>
                <w:sz w:val="28"/>
                <w:szCs w:val="36"/>
                <w:vertAlign w:val="baseline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 w:themeColor="text1"/>
                <w:sz w:val="28"/>
                <w:szCs w:val="36"/>
                <w:vertAlign w:val="baseline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贸易投资</w:t>
            </w:r>
          </w:p>
          <w:p>
            <w:pPr>
              <w:jc w:val="center"/>
              <w:rPr>
                <w:rFonts w:hint="default" w:ascii="黑体" w:hAnsi="黑体" w:eastAsia="黑体" w:cs="黑体"/>
                <w:b/>
                <w:bCs/>
                <w:color w:val="000000" w:themeColor="text1"/>
                <w:sz w:val="28"/>
                <w:szCs w:val="36"/>
                <w:vertAlign w:val="baseline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 w:themeColor="text1"/>
                <w:sz w:val="28"/>
                <w:szCs w:val="36"/>
                <w:vertAlign w:val="baseline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消费</w:t>
            </w:r>
          </w:p>
        </w:tc>
        <w:tc>
          <w:tcPr>
            <w:tcW w:w="15639" w:type="dxa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sz w:val="28"/>
                <w:szCs w:val="36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sz w:val="28"/>
                <w:szCs w:val="3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出口总额、进口总额，外商投资企业出口总额、进口总额、进出口总额，固定资产投资（不含农户）增速</w:t>
            </w:r>
            <w:r>
              <w:rPr>
                <w:rFonts w:hint="default" w:ascii="仿宋_GB2312" w:hAnsi="仿宋_GB2312" w:eastAsia="仿宋_GB2312" w:cs="仿宋_GB2312"/>
                <w:b/>
                <w:bCs/>
                <w:color w:val="000000" w:themeColor="text1"/>
                <w:sz w:val="28"/>
                <w:szCs w:val="36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sz w:val="28"/>
                <w:szCs w:val="36"/>
                <w:vertAlign w:val="baseline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房地产开发投资及增速</w:t>
            </w:r>
            <w:r>
              <w:rPr>
                <w:rFonts w:hint="default" w:ascii="仿宋_GB2312" w:hAnsi="仿宋_GB2312" w:eastAsia="仿宋_GB2312" w:cs="仿宋_GB2312"/>
                <w:b/>
                <w:bCs/>
                <w:color w:val="000000" w:themeColor="text1"/>
                <w:sz w:val="28"/>
                <w:szCs w:val="36"/>
                <w:vertAlign w:val="baseline"/>
                <w:lang w:eastAsia="zh-Hans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sz w:val="28"/>
                <w:szCs w:val="3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商品房销售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sz w:val="28"/>
                <w:szCs w:val="36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面积</w:t>
            </w:r>
            <w:r>
              <w:rPr>
                <w:rFonts w:hint="default" w:ascii="仿宋_GB2312" w:hAnsi="仿宋_GB2312" w:eastAsia="仿宋_GB2312" w:cs="仿宋_GB2312"/>
                <w:b/>
                <w:bCs/>
                <w:color w:val="000000" w:themeColor="text1"/>
                <w:sz w:val="28"/>
                <w:szCs w:val="36"/>
                <w:lang w:eastAsia="zh-Hans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sz w:val="28"/>
                <w:szCs w:val="3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商品房销售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sz w:val="28"/>
                <w:szCs w:val="36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额</w:t>
            </w:r>
            <w:r>
              <w:rPr>
                <w:rFonts w:hint="default" w:ascii="仿宋_GB2312" w:hAnsi="仿宋_GB2312" w:eastAsia="仿宋_GB2312" w:cs="仿宋_GB2312"/>
                <w:b/>
                <w:bCs/>
                <w:color w:val="000000" w:themeColor="text1"/>
                <w:sz w:val="28"/>
                <w:szCs w:val="36"/>
                <w:lang w:eastAsia="zh-Hans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sz w:val="28"/>
                <w:szCs w:val="3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商品房销售价格</w:t>
            </w:r>
            <w:r>
              <w:rPr>
                <w:rFonts w:hint="default" w:ascii="仿宋_GB2312" w:hAnsi="仿宋_GB2312" w:eastAsia="仿宋_GB2312" w:cs="仿宋_GB2312"/>
                <w:b/>
                <w:bCs/>
                <w:color w:val="000000" w:themeColor="text1"/>
                <w:sz w:val="28"/>
                <w:szCs w:val="36"/>
                <w:lang w:eastAsia="zh-CN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sz w:val="28"/>
                <w:szCs w:val="3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社会消费品零售总额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0" w:hRule="atLeast"/>
          <w:jc w:val="center"/>
        </w:trPr>
        <w:tc>
          <w:tcPr>
            <w:tcW w:w="1586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  <w:color w:val="000000" w:themeColor="text1"/>
                <w:sz w:val="28"/>
                <w:szCs w:val="36"/>
                <w:vertAlign w:val="baseline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 w:themeColor="text1"/>
                <w:sz w:val="28"/>
                <w:szCs w:val="36"/>
                <w:vertAlign w:val="baseline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金融保险</w:t>
            </w:r>
          </w:p>
          <w:p>
            <w:pPr>
              <w:jc w:val="center"/>
              <w:rPr>
                <w:rFonts w:hint="default" w:ascii="黑体" w:hAnsi="黑体" w:eastAsia="黑体" w:cs="黑体"/>
                <w:b/>
                <w:bCs/>
                <w:color w:val="000000" w:themeColor="text1"/>
                <w:sz w:val="28"/>
                <w:szCs w:val="36"/>
                <w:vertAlign w:val="baseline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 w:themeColor="text1"/>
                <w:sz w:val="28"/>
                <w:szCs w:val="36"/>
                <w:vertAlign w:val="baseline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科技</w:t>
            </w:r>
          </w:p>
        </w:tc>
        <w:tc>
          <w:tcPr>
            <w:tcW w:w="15639" w:type="dxa"/>
            <w:vAlign w:val="center"/>
          </w:tcPr>
          <w:p>
            <w:pPr>
              <w:rPr>
                <w:rFonts w:hint="default" w:ascii="仿宋_GB2312" w:hAnsi="仿宋_GB2312" w:eastAsia="仿宋_GB2312" w:cs="仿宋_GB2312"/>
                <w:b/>
                <w:bCs/>
                <w:color w:val="000000" w:themeColor="text1"/>
                <w:sz w:val="28"/>
                <w:szCs w:val="36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sz w:val="28"/>
                <w:szCs w:val="3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金融机构本外币存款余额、贷款余额（2005-2022）、商业银行不良贷款率（2005-2019）、住户贷款、保费收入、保费赔付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sz w:val="28"/>
                <w:szCs w:val="36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、专利授权量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0" w:hRule="atLeast"/>
          <w:jc w:val="center"/>
        </w:trPr>
        <w:tc>
          <w:tcPr>
            <w:tcW w:w="1586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  <w:color w:val="000000" w:themeColor="text1"/>
                <w:sz w:val="28"/>
                <w:szCs w:val="36"/>
                <w:vertAlign w:val="baseline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 w:themeColor="text1"/>
                <w:sz w:val="28"/>
                <w:szCs w:val="36"/>
                <w:vertAlign w:val="baseline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营商环境</w:t>
            </w:r>
          </w:p>
        </w:tc>
        <w:tc>
          <w:tcPr>
            <w:tcW w:w="15639" w:type="dxa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sz w:val="28"/>
                <w:szCs w:val="3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sz w:val="28"/>
                <w:szCs w:val="3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市场化指数</w:t>
            </w:r>
            <w:r>
              <w:rPr>
                <w:rFonts w:hint="default" w:ascii="仿宋_GB2312" w:hAnsi="仿宋_GB2312" w:eastAsia="仿宋_GB2312" w:cs="仿宋_GB2312"/>
                <w:b/>
                <w:bCs/>
                <w:color w:val="000000" w:themeColor="text1"/>
                <w:sz w:val="28"/>
                <w:szCs w:val="36"/>
                <w:lang w:eastAsia="zh-CN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sz w:val="28"/>
                <w:szCs w:val="36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包括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sz w:val="28"/>
                <w:szCs w:val="3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政府与市场关系</w:t>
            </w:r>
            <w:r>
              <w:rPr>
                <w:rFonts w:hint="default" w:ascii="仿宋_GB2312" w:hAnsi="仿宋_GB2312" w:eastAsia="仿宋_GB2312" w:cs="仿宋_GB2312"/>
                <w:b/>
                <w:bCs/>
                <w:color w:val="000000" w:themeColor="text1"/>
                <w:sz w:val="28"/>
                <w:szCs w:val="36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sz w:val="28"/>
                <w:szCs w:val="3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非国有经济发展</w:t>
            </w:r>
            <w:r>
              <w:rPr>
                <w:rFonts w:hint="default" w:ascii="仿宋_GB2312" w:hAnsi="仿宋_GB2312" w:eastAsia="仿宋_GB2312" w:cs="仿宋_GB2312"/>
                <w:b/>
                <w:bCs/>
                <w:color w:val="000000" w:themeColor="text1"/>
                <w:sz w:val="28"/>
                <w:szCs w:val="36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sz w:val="28"/>
                <w:szCs w:val="3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产品市场的发育程度</w:t>
            </w:r>
            <w:r>
              <w:rPr>
                <w:rFonts w:hint="default" w:ascii="仿宋_GB2312" w:hAnsi="仿宋_GB2312" w:eastAsia="仿宋_GB2312" w:cs="仿宋_GB2312"/>
                <w:b/>
                <w:bCs/>
                <w:color w:val="000000" w:themeColor="text1"/>
                <w:sz w:val="28"/>
                <w:szCs w:val="36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sz w:val="28"/>
                <w:szCs w:val="3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要素市场的发育程度</w:t>
            </w:r>
            <w:r>
              <w:rPr>
                <w:rFonts w:hint="default" w:ascii="仿宋_GB2312" w:hAnsi="仿宋_GB2312" w:eastAsia="仿宋_GB2312" w:cs="仿宋_GB2312"/>
                <w:b/>
                <w:bCs/>
                <w:color w:val="000000" w:themeColor="text1"/>
                <w:sz w:val="28"/>
                <w:szCs w:val="36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sz w:val="28"/>
                <w:szCs w:val="3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市场中介组织的发育和法律制度环境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sz w:val="28"/>
                <w:szCs w:val="36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指数</w:t>
            </w:r>
          </w:p>
        </w:tc>
      </w:tr>
    </w:tbl>
    <w:p>
      <w:pPr>
        <w:rPr>
          <w:rFonts w:hint="eastAsia"/>
        </w:rPr>
      </w:pPr>
      <w:bookmarkStart w:id="0" w:name="_GoBack"/>
      <w:bookmarkEnd w:id="0"/>
    </w:p>
    <w:sectPr>
      <w:pgSz w:w="24208" w:h="22677" w:orient="landscape"/>
      <w:pgMar w:top="720" w:right="720" w:bottom="720" w:left="72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1"/>
    <w:family w:val="swiss"/>
    <w:pitch w:val="default"/>
    <w:sig w:usb0="00000000" w:usb1="00000000" w:usb2="00000000" w:usb3="00000000" w:csb0="00000000" w:csb1="0000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0000" w:usb1="00000000" w:usb2="00000000" w:usb3="00000000" w:csb0="00000000" w:csb1="0000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Helvetica Neue">
    <w:panose1 w:val="02000503000000020004"/>
    <w:charset w:val="00"/>
    <w:family w:val="auto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等线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汉仪中等线KW">
    <w:panose1 w:val="01010104010101010101"/>
    <w:charset w:val="86"/>
    <w:family w:val="auto"/>
    <w:pitch w:val="default"/>
    <w:sig w:usb0="00000000" w:usb1="00000000" w:usb2="00000000" w:usb3="00000000" w:csb0="00160000" w:csb1="00000000"/>
  </w:font>
  <w:font w:name="FangSong_GB2312">
    <w:panose1 w:val="02010609030101010101"/>
    <w:charset w:val="86"/>
    <w:family w:val="auto"/>
    <w:pitch w:val="default"/>
    <w:sig w:usb0="00000000" w:usb1="00000000" w:usb2="00000000" w:usb3="00000000" w:csb0="00060000" w:csb1="00000000"/>
  </w:font>
  <w:font w:name="汉仪中黑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仿宋_GB2312">
    <w:panose1 w:val="02010609030101010101"/>
    <w:charset w:val="86"/>
    <w:family w:val="modern"/>
    <w:pitch w:val="default"/>
    <w:sig w:usb0="00000000" w:usb1="00000000" w:usb2="00000000" w:usb3="00000000" w:csb0="0006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A1MGE2MDFmNTJlMjZmMDA0ZjE5YjY0ZGUyM2IzOTUifQ=="/>
  </w:docVars>
  <w:rsids>
    <w:rsidRoot w:val="78B318C3"/>
    <w:rsid w:val="016C7C98"/>
    <w:rsid w:val="02E96621"/>
    <w:rsid w:val="03825F0C"/>
    <w:rsid w:val="0EE7610B"/>
    <w:rsid w:val="13E7095B"/>
    <w:rsid w:val="17DB7526"/>
    <w:rsid w:val="19B60B25"/>
    <w:rsid w:val="21C95ABB"/>
    <w:rsid w:val="2268710B"/>
    <w:rsid w:val="2756536C"/>
    <w:rsid w:val="29AD56CF"/>
    <w:rsid w:val="33D77C4D"/>
    <w:rsid w:val="36BF5448"/>
    <w:rsid w:val="39BD7DB9"/>
    <w:rsid w:val="3CBE1B91"/>
    <w:rsid w:val="3E1A68F2"/>
    <w:rsid w:val="3F8EAD9D"/>
    <w:rsid w:val="482A48FE"/>
    <w:rsid w:val="4A7E0D6C"/>
    <w:rsid w:val="4CBE70B9"/>
    <w:rsid w:val="4E799DE8"/>
    <w:rsid w:val="5DFF576B"/>
    <w:rsid w:val="5E3029F3"/>
    <w:rsid w:val="5FE6903B"/>
    <w:rsid w:val="62726C0F"/>
    <w:rsid w:val="6525101C"/>
    <w:rsid w:val="65407ACF"/>
    <w:rsid w:val="673DD588"/>
    <w:rsid w:val="69DF6146"/>
    <w:rsid w:val="6A7DCD96"/>
    <w:rsid w:val="6DFD2FC5"/>
    <w:rsid w:val="6F7F3BC2"/>
    <w:rsid w:val="6FC52A74"/>
    <w:rsid w:val="75EF71D7"/>
    <w:rsid w:val="77CF406F"/>
    <w:rsid w:val="78B318C3"/>
    <w:rsid w:val="7B6E63D5"/>
    <w:rsid w:val="7D7658EC"/>
    <w:rsid w:val="7DCB7298"/>
    <w:rsid w:val="7E76F201"/>
    <w:rsid w:val="7E837D82"/>
    <w:rsid w:val="7EAA5A3F"/>
    <w:rsid w:val="7F3B91FC"/>
    <w:rsid w:val="7FFDF215"/>
    <w:rsid w:val="7FFF7C95"/>
    <w:rsid w:val="96F68B17"/>
    <w:rsid w:val="9AFF557D"/>
    <w:rsid w:val="9FDB430F"/>
    <w:rsid w:val="BAAFA571"/>
    <w:rsid w:val="BF7A3324"/>
    <w:rsid w:val="C5BFC4C5"/>
    <w:rsid w:val="DED396A7"/>
    <w:rsid w:val="DFDF9C41"/>
    <w:rsid w:val="EF4FF7BA"/>
    <w:rsid w:val="F7FF605E"/>
    <w:rsid w:val="F9651D69"/>
    <w:rsid w:val="FADD32FA"/>
    <w:rsid w:val="FBE98468"/>
    <w:rsid w:val="FDCBCC9B"/>
    <w:rsid w:val="FF6DA2CB"/>
    <w:rsid w:val="FFEF6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961</Words>
  <Characters>1003</Characters>
  <Lines>0</Lines>
  <Paragraphs>0</Paragraphs>
  <TotalTime>0</TotalTime>
  <ScaleCrop>false</ScaleCrop>
  <LinksUpToDate>false</LinksUpToDate>
  <CharactersWithSpaces>1003</CharactersWithSpaces>
  <Application>WPS Office_5.4.1.7920_F1E327BC-269C-435d-A152-05C5408002CA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2023-04-03T07:21:00Z</dcterms:created>
  <dc:creator>怡海风信</dc:creator>
  <cp:lastModifiedBy>怡海风信</cp:lastModifiedBy>
  <dcterms:modified xsi:type="dcterms:W3CDTF">2023-07-09T20:44:49Z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2052-5.4.1.7920</vt:lpwstr>
  </property>
  <property fmtid="{D5CDD505-2E9C-101B-9397-08002B2CF9AE}" pid="3" name="ICV">
    <vt:lpwstr>D09E58BDEBCE47B08E9A57ED996C3342</vt:lpwstr>
  </property>
</Properties>
</file>